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b/>
          <w:u w:val="single"/>
        </w:rPr>
      </w:pPr>
      <w:r>
        <w:rPr>
          <w:b/>
          <w:u w:val="single"/>
        </w:rPr>
        <w:t>Notizen zum Nachbereitungstreffen LAWA-Workshop 2024</w:t>
      </w:r>
    </w:p>
    <w:p/>
    <w:p>
      <w:r>
        <w:t>Kurzer Rückblick zum Ablauf des LAWA-Workshops und den verbundenen Veranstaltungen (Blick in die Praxis und Infoveranstaltung) wurde vorgestellt.</w:t>
      </w:r>
    </w:p>
    <w:p>
      <w:r>
        <w:t xml:space="preserve">Im Zusammenhang mit dem LAWA-Workshop wurde ein Artikel auf der BfG-Homepage am 15.07.2024 veröffentlicht: </w:t>
      </w:r>
    </w:p>
    <w:p>
      <w:pPr>
        <w:pStyle w:val="Listenabsatz"/>
        <w:numPr>
          <w:ilvl w:val="0"/>
          <w:numId w:val="2"/>
        </w:numPr>
      </w:pPr>
      <w:r>
        <w:t xml:space="preserve">Teaser: </w:t>
      </w:r>
    </w:p>
    <w:p>
      <w:pPr>
        <w:pStyle w:val="Listenabsatz"/>
        <w:rPr>
          <w:u w:val="single"/>
        </w:rPr>
      </w:pPr>
      <w:r>
        <w:rPr>
          <w:u w:val="single"/>
        </w:rPr>
        <w:t>BfG unterstützt Länder und Flussgebiete bei internationalen Berichtspflichten</w:t>
      </w:r>
    </w:p>
    <w:p>
      <w:pPr>
        <w:pStyle w:val="Listenabsatz"/>
      </w:pPr>
      <w:r>
        <w:t xml:space="preserve">Vertreterinnen und Vertreter der Bund/Länder-Arbeitsgemeinschaft Wasser (LAWA) erarbeiteten im Rahmen eines Workshops in der BfG Anforderungen zur Auswertung und Visualisierung von </w:t>
      </w:r>
      <w:proofErr w:type="spellStart"/>
      <w:r>
        <w:t>gewässerkundlichen</w:t>
      </w:r>
      <w:proofErr w:type="spellEnd"/>
      <w:r>
        <w:t xml:space="preserve"> Daten für den 4. Bewirtschaftungsplan der EU-Wasserrahmenrichtlinie….</w:t>
      </w:r>
    </w:p>
    <w:p>
      <w:pPr>
        <w:pStyle w:val="Listenabsatz"/>
        <w:rPr>
          <w:lang w:val="en-US"/>
        </w:rPr>
      </w:pPr>
      <w:proofErr w:type="gramStart"/>
      <w:r>
        <w:rPr>
          <w:b/>
          <w:u w:val="single"/>
          <w:lang w:val="en-US"/>
        </w:rPr>
        <w:t>Link :</w:t>
      </w:r>
      <w:proofErr w:type="gramEnd"/>
      <w:r>
        <w:rPr>
          <w:lang w:val="en-US"/>
        </w:rPr>
        <w:t xml:space="preserve"> </w:t>
      </w:r>
      <w:hyperlink r:id="rId5" w:history="1">
        <w:r>
          <w:rPr>
            <w:rStyle w:val="Hyperlink"/>
            <w:lang w:val="en-US"/>
          </w:rPr>
          <w:t>https://www.bafg.de/DE/5_Informiert/4_Infothek/Aktuelles/_doc/2024/240711_LAWA-Workshop.html</w:t>
        </w:r>
      </w:hyperlink>
    </w:p>
    <w:p>
      <w:r>
        <w:t>Kurze Vorstellung der Anforderungen zu Statistiken, Karten und Qualitätsprüfungen nach den Rückmeldungen zum Protokoll und der Exceltabelle (</w:t>
      </w:r>
      <w:hyperlink r:id="rId6" w:history="1">
        <w:r>
          <w:rPr>
            <w:rStyle w:val="Hyperlink"/>
          </w:rPr>
          <w:t>https://www.wasserblick.net/servlet/is/233297/</w:t>
        </w:r>
      </w:hyperlink>
      <w:r>
        <w:t xml:space="preserve">). </w:t>
      </w:r>
    </w:p>
    <w:p>
      <w:pPr>
        <w:pStyle w:val="Listenabsatz"/>
        <w:numPr>
          <w:ilvl w:val="0"/>
          <w:numId w:val="2"/>
        </w:numPr>
      </w:pPr>
      <w:r>
        <w:t>Hinweise zu den Anforderungen der Statistiken:</w:t>
      </w:r>
    </w:p>
    <w:p>
      <w:pPr>
        <w:pStyle w:val="Listenabsatz"/>
        <w:numPr>
          <w:ilvl w:val="1"/>
          <w:numId w:val="2"/>
        </w:numPr>
      </w:pPr>
      <w:r>
        <w:t xml:space="preserve">Offene Konkretisierungen aus dem Workshop und nachträgliche aus den </w:t>
      </w:r>
      <w:proofErr w:type="spellStart"/>
      <w:r>
        <w:t>FGGen</w:t>
      </w:r>
      <w:proofErr w:type="spellEnd"/>
      <w:r>
        <w:t xml:space="preserve"> werden bearbeitet.</w:t>
      </w:r>
    </w:p>
    <w:p>
      <w:pPr>
        <w:pStyle w:val="Listenabsatz"/>
        <w:numPr>
          <w:ilvl w:val="1"/>
          <w:numId w:val="2"/>
        </w:numPr>
      </w:pPr>
      <w:r>
        <w:t>Wie verläuft dieser Prozess der konkreten Spezifizierungen?</w:t>
      </w:r>
    </w:p>
    <w:p>
      <w:pPr>
        <w:pStyle w:val="Listenabsatz"/>
        <w:numPr>
          <w:ilvl w:val="2"/>
          <w:numId w:val="2"/>
        </w:numPr>
      </w:pPr>
      <w:r>
        <w:rPr>
          <w:u w:val="single"/>
        </w:rPr>
        <w:t>Abgestuftes Vorgehen:</w:t>
      </w:r>
      <w:r>
        <w:t xml:space="preserve"> Die </w:t>
      </w:r>
      <w:proofErr w:type="spellStart"/>
      <w:r>
        <w:t>FGGen</w:t>
      </w:r>
      <w:proofErr w:type="spellEnd"/>
      <w:r>
        <w:t xml:space="preserve"> haben Rückmeldungen zu neuen Statistiken eingeholt, werden jetzt Ergebnisse nochmal mit den FGG-GS rückkoppeln und dann an BfG schicken. </w:t>
      </w:r>
      <w:r>
        <w:sym w:font="Wingdings" w:char="F0E0"/>
      </w:r>
      <w:r>
        <w:t xml:space="preserve"> mit Bezug auf die jetzt Neuen Statistiken aus dem LAWA-Workshop</w:t>
      </w:r>
    </w:p>
    <w:p>
      <w:pPr>
        <w:pStyle w:val="Listenabsatz"/>
        <w:numPr>
          <w:ilvl w:val="1"/>
          <w:numId w:val="2"/>
        </w:numPr>
      </w:pPr>
      <w:r>
        <w:t>Die bestehenden Statistiken werden qualitätsgesichert und auf Fehler überprüft.</w:t>
      </w:r>
    </w:p>
    <w:p>
      <w:pPr>
        <w:pStyle w:val="Listenabsatz"/>
        <w:numPr>
          <w:ilvl w:val="1"/>
          <w:numId w:val="2"/>
        </w:numPr>
      </w:pPr>
      <w:r>
        <w:t xml:space="preserve">Die Gruppierung sollte auch für Bundesland in </w:t>
      </w:r>
      <w:proofErr w:type="spellStart"/>
      <w:r>
        <w:t>Subunit</w:t>
      </w:r>
      <w:proofErr w:type="spellEnd"/>
      <w:r>
        <w:t xml:space="preserve"> erfolgen, nicht nur FGE.</w:t>
      </w:r>
    </w:p>
    <w:p>
      <w:r>
        <w:t xml:space="preserve">Es wurde anschließend ein </w:t>
      </w:r>
      <w:r>
        <w:rPr>
          <w:b/>
        </w:rPr>
        <w:t>Ausblick/Zeitplan von 2024 bis 2026</w:t>
      </w:r>
      <w:r>
        <w:t xml:space="preserve"> vorgestellt. </w:t>
      </w:r>
    </w:p>
    <w:p>
      <w:pPr>
        <w:pStyle w:val="Listenabsatz"/>
        <w:numPr>
          <w:ilvl w:val="0"/>
          <w:numId w:val="2"/>
        </w:numPr>
      </w:pPr>
      <w:r>
        <w:t xml:space="preserve">Zwischen dem stattgefundenen LAWA-Workshop und der Vorstellung in der LAWA-VV im März 2025 in Form eines Berichts, sollte eine Erstellung des Zeitplanes erfolgen. </w:t>
      </w:r>
    </w:p>
    <w:p>
      <w:pPr>
        <w:pStyle w:val="Listenabsatz"/>
        <w:numPr>
          <w:ilvl w:val="0"/>
          <w:numId w:val="2"/>
        </w:numPr>
      </w:pPr>
      <w:r>
        <w:t>Anschließend an die LAWA-VV wird es eine Vorstellung zum Zeitplan, der Ergebnisse und zum Stand der Umsetzung geben in Form eines Online- Workshops.</w:t>
      </w:r>
    </w:p>
    <w:p>
      <w:pPr>
        <w:pStyle w:val="Listenabsatz"/>
        <w:numPr>
          <w:ilvl w:val="0"/>
          <w:numId w:val="2"/>
        </w:numPr>
      </w:pPr>
      <w:r>
        <w:t xml:space="preserve">Nach der Bereitstellung der Tools am 01.03.2026: Der Auswertungsworkshop (01.09.2024) soll zeigen, welche inhaltlichen Unstimmigkeiten bei den fertigen Berichtsprodukten auffallen und was die Ursachen sind. </w:t>
      </w:r>
      <w:r>
        <w:sym w:font="Wingdings" w:char="F0E0"/>
      </w:r>
      <w:r>
        <w:t xml:space="preserve"> Mithilfe der Datenkompetenz der Kolleginnen und Kollegen der EGDMR und der fachlichen Ausschüsse herausfinden, warum etwas nicht passt.</w:t>
      </w:r>
    </w:p>
    <w:p>
      <w:pPr>
        <w:pStyle w:val="Listenabsatz"/>
        <w:numPr>
          <w:ilvl w:val="0"/>
          <w:numId w:val="2"/>
        </w:numPr>
      </w:pPr>
      <w:r>
        <w:t xml:space="preserve">Bis 01.09. sollen diese Tools schon genutzt werden, damit man gemeinsam auf die Ergebnisse schauen kann </w:t>
      </w:r>
      <w:r>
        <w:sym w:font="Wingdings" w:char="F0E0"/>
      </w:r>
      <w:r>
        <w:t xml:space="preserve"> inhaltliche Betrachtung soll dann im Fokus liegen </w:t>
      </w:r>
      <w:bookmarkStart w:id="0" w:name="_GoBack"/>
      <w:bookmarkEnd w:id="0"/>
    </w:p>
    <w:p>
      <w:pPr>
        <w:numPr>
          <w:ilvl w:val="0"/>
          <w:numId w:val="2"/>
        </w:numPr>
      </w:pPr>
      <w:r>
        <w:rPr>
          <w:u w:val="single"/>
        </w:rPr>
        <w:t>Angebote 2024:</w:t>
      </w:r>
    </w:p>
    <w:p>
      <w:pPr>
        <w:numPr>
          <w:ilvl w:val="0"/>
          <w:numId w:val="2"/>
        </w:numPr>
        <w:spacing w:after="0"/>
        <w:ind w:left="1068"/>
      </w:pPr>
      <w:r>
        <w:rPr>
          <w:i/>
          <w:iCs/>
        </w:rPr>
        <w:t xml:space="preserve">offene Gesprächsrunden für WasserBLIcK-Upload und LAWA-WIKI: </w:t>
      </w:r>
    </w:p>
    <w:p>
      <w:pPr>
        <w:spacing w:after="0"/>
        <w:ind w:left="1068"/>
        <w:rPr>
          <w:color w:val="00B050"/>
        </w:rPr>
      </w:pPr>
      <w:r>
        <w:rPr>
          <w:b/>
          <w:bCs/>
          <w:color w:val="00B050"/>
        </w:rPr>
        <w:t>LAWA-WIKI &amp; WasserBLIcK-Upload: 09.10. von 9-10:30 Uhr</w:t>
      </w:r>
    </w:p>
    <w:p>
      <w:pPr>
        <w:spacing w:after="0"/>
        <w:ind w:left="1416"/>
      </w:pPr>
      <w:r>
        <w:sym w:font="Wingdings" w:char="F0E0"/>
      </w:r>
      <w:r>
        <w:t xml:space="preserve"> Offizielle Einladung erfolgt Anfang September 2024</w:t>
      </w:r>
    </w:p>
    <w:p>
      <w:pPr>
        <w:spacing w:after="0"/>
        <w:ind w:left="1416"/>
      </w:pPr>
    </w:p>
    <w:p>
      <w:r>
        <w:t xml:space="preserve">Anschließend wurde über das weitere Vorgehen und die Umsetzung der Anforderungen aus dem LAWA-Workshop gesprochen. </w:t>
      </w:r>
    </w:p>
    <w:p>
      <w:pPr>
        <w:pStyle w:val="Listenabsatz"/>
        <w:numPr>
          <w:ilvl w:val="0"/>
          <w:numId w:val="4"/>
        </w:numPr>
        <w:rPr>
          <w:color w:val="00B050"/>
        </w:rPr>
      </w:pPr>
      <w:r>
        <w:rPr>
          <w:color w:val="00B050"/>
        </w:rPr>
        <w:t xml:space="preserve">Alle Anforderungen sollten über die vorhandenen Regelstrukturen wie Z.B. LAWA EG DMR, KG-Reporting und FGG-Geschäftsstellen laufen. </w:t>
      </w:r>
    </w:p>
    <w:p>
      <w:pPr>
        <w:pStyle w:val="Listenabsatz"/>
        <w:numPr>
          <w:ilvl w:val="1"/>
          <w:numId w:val="4"/>
        </w:numPr>
      </w:pPr>
      <w:r>
        <w:t>Sicherstellen der Bearbeitung über Regelstruktur und die vorhandenen Kommunikationswege</w:t>
      </w:r>
    </w:p>
    <w:p>
      <w:pPr>
        <w:pStyle w:val="Listenabsatz"/>
        <w:numPr>
          <w:ilvl w:val="1"/>
          <w:numId w:val="4"/>
        </w:numPr>
      </w:pPr>
      <w:r>
        <w:t>Keine zusätzlichen Gruppen aufmachen.</w:t>
      </w:r>
    </w:p>
    <w:p>
      <w:pPr>
        <w:pStyle w:val="Listenabsatz"/>
        <w:numPr>
          <w:ilvl w:val="1"/>
          <w:numId w:val="4"/>
        </w:numPr>
      </w:pPr>
      <w:r>
        <w:t xml:space="preserve">Die Kommunikationswege müssen dann klar sein, wenn z.B. für Karte/Statistik Kommunikationsbedarf kurzfristig vorhanden ist. </w:t>
      </w:r>
    </w:p>
    <w:p>
      <w:pPr>
        <w:pStyle w:val="Listenabsatz"/>
        <w:numPr>
          <w:ilvl w:val="1"/>
          <w:numId w:val="4"/>
        </w:numPr>
      </w:pPr>
      <w:r>
        <w:t>An welchen Adressatenkreis schreibt die BfG, wenn ein Produkt getestet werden soll oder Feedback benötigt wird?</w:t>
      </w:r>
    </w:p>
    <w:p>
      <w:pPr>
        <w:pStyle w:val="Listenabsatz"/>
        <w:numPr>
          <w:ilvl w:val="2"/>
          <w:numId w:val="4"/>
        </w:numPr>
      </w:pPr>
      <w:r>
        <w:t>An die vorhandenen Verteiler wie KG Reporting oder FGGen je nach Produkt und Thema.</w:t>
      </w:r>
    </w:p>
    <w:p>
      <w:pPr>
        <w:pStyle w:val="Listenabsatz"/>
        <w:numPr>
          <w:ilvl w:val="2"/>
          <w:numId w:val="4"/>
        </w:numPr>
      </w:pPr>
      <w:r>
        <w:t xml:space="preserve">Karten: Die </w:t>
      </w:r>
      <w:proofErr w:type="spellStart"/>
      <w:r>
        <w:t>FGGen</w:t>
      </w:r>
      <w:proofErr w:type="spellEnd"/>
      <w:r>
        <w:t xml:space="preserve"> nutzen die Karten letztendlich. Wenn es darum geht, wie Karten aussehen sollen/Karten prüfen, reichen die Ansprechpersonen der </w:t>
      </w:r>
      <w:proofErr w:type="spellStart"/>
      <w:r>
        <w:t>FGGen</w:t>
      </w:r>
      <w:proofErr w:type="spellEnd"/>
      <w:r>
        <w:t>. Dort sollten Diskussionen geführt werden.</w:t>
      </w:r>
    </w:p>
    <w:p>
      <w:pPr>
        <w:pStyle w:val="Listenabsatz"/>
        <w:numPr>
          <w:ilvl w:val="1"/>
          <w:numId w:val="4"/>
        </w:numPr>
      </w:pPr>
      <w:r>
        <w:t>Die Kommunikation, z.B. „Karte XY ist fertig“: Immer sicherstellen, ob z.B. über EG DMR alle Bundesländer/</w:t>
      </w:r>
      <w:proofErr w:type="spellStart"/>
      <w:r>
        <w:t>FGGen</w:t>
      </w:r>
      <w:proofErr w:type="spellEnd"/>
      <w:r>
        <w:t xml:space="preserve"> erreicht werden!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A81"/>
    <w:multiLevelType w:val="hybridMultilevel"/>
    <w:tmpl w:val="FBF48A14"/>
    <w:lvl w:ilvl="0" w:tplc="B562FEF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9742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CE01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F8D8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72BD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6F2B3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EA0C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46D0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B821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AE2078A"/>
    <w:multiLevelType w:val="hybridMultilevel"/>
    <w:tmpl w:val="F048BB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36E"/>
    <w:multiLevelType w:val="hybridMultilevel"/>
    <w:tmpl w:val="83828CFC"/>
    <w:lvl w:ilvl="0" w:tplc="083C4F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05025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BA10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2AE9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51E13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FE96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50DC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81A10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9246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F210EA5"/>
    <w:multiLevelType w:val="hybridMultilevel"/>
    <w:tmpl w:val="B14E80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F7571"/>
    <w:multiLevelType w:val="hybridMultilevel"/>
    <w:tmpl w:val="9EAA6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C868-7EF1-49E9-A368-ED5CBA7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1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8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9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serblick.net/servlet/is/233297/" TargetMode="External"/><Relationship Id="rId5" Type="http://schemas.openxmlformats.org/officeDocument/2006/relationships/hyperlink" Target="https://www.bafg.de/DE/5_Informiert/4_Infothek/Aktuelles/_doc/2024/240711_LAWA-Worksho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Bundesanstalt für Gewässerkunde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Theresa, M4, MT</dc:creator>
  <cp:keywords/>
  <dc:description/>
  <cp:lastModifiedBy>Schneider, Pia, M4, MT</cp:lastModifiedBy>
  <cp:revision>16</cp:revision>
  <dcterms:created xsi:type="dcterms:W3CDTF">2024-08-07T08:07:00Z</dcterms:created>
  <dcterms:modified xsi:type="dcterms:W3CDTF">2024-08-13T12:35:00Z</dcterms:modified>
</cp:coreProperties>
</file>